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23380480" w:rsidR="000C3EA5" w:rsidRDefault="000C3EA5">
      <w:pPr>
        <w:rPr>
          <w:rFonts w:cs="Arial"/>
        </w:rPr>
      </w:pPr>
    </w:p>
    <w:p w14:paraId="4C53D759" w14:textId="77777777" w:rsidR="00CD714C" w:rsidRDefault="00CD714C" w:rsidP="00FF0C7C">
      <w:pPr>
        <w:suppressLineNumbers/>
        <w:rPr>
          <w:rFonts w:cs="Arial"/>
          <w:b/>
          <w:bCs/>
        </w:rPr>
      </w:pPr>
    </w:p>
    <w:p w14:paraId="2D708F1D" w14:textId="2C04B9AC" w:rsidR="00E26D6F" w:rsidRPr="00E26D6F" w:rsidRDefault="00E26D6F" w:rsidP="00FF0C7C">
      <w:pPr>
        <w:suppressLineNumbers/>
        <w:rPr>
          <w:rFonts w:cs="Arial"/>
          <w:b/>
          <w:bCs/>
        </w:rPr>
      </w:pPr>
      <w:r w:rsidRPr="00E26D6F">
        <w:rPr>
          <w:rFonts w:cs="Arial"/>
          <w:b/>
          <w:bCs/>
        </w:rPr>
        <w:t>BAD NEWS</w:t>
      </w:r>
    </w:p>
    <w:p w14:paraId="5629E383" w14:textId="4348E686" w:rsidR="00E26D6F" w:rsidRDefault="00E26D6F" w:rsidP="00FF0C7C">
      <w:pPr>
        <w:suppressLineNumbers/>
        <w:rPr>
          <w:rFonts w:cs="Arial"/>
        </w:rPr>
      </w:pPr>
      <w:r>
        <w:rPr>
          <w:rFonts w:cs="Arial"/>
        </w:rPr>
        <w:t>Verleugnen, verdrehen, manipulieren, übertreiben, betrügen, erfinden…. Eigentlich sind dies alles Dinge, die unerwünscht sind und als negativ angesehen werden. Aber um herauszufinden, wie Verschwörungstheorien funktionieren, sind diese Ding</w:t>
      </w:r>
      <w:r w:rsidR="00BF06EE">
        <w:rPr>
          <w:rFonts w:cs="Arial"/>
        </w:rPr>
        <w:t>e</w:t>
      </w:r>
      <w:r>
        <w:rPr>
          <w:rFonts w:cs="Arial"/>
        </w:rPr>
        <w:t xml:space="preserve"> nun ausdrücklich erlaubt. Sie schlüpfen in die Rolle einer Person, die bewusst Desinformationen verbreitet. </w:t>
      </w:r>
    </w:p>
    <w:p w14:paraId="7561852C" w14:textId="18A7B7A6" w:rsidR="00E26D6F" w:rsidRDefault="00E26D6F" w:rsidP="00FF0C7C">
      <w:pPr>
        <w:suppressLineNumbers/>
        <w:rPr>
          <w:rFonts w:cs="Arial"/>
        </w:rPr>
      </w:pPr>
      <w:r>
        <w:rPr>
          <w:rFonts w:cs="Arial"/>
        </w:rPr>
        <w:t>Mit einer Tandempartnerin erstellen Sie Desinformation</w:t>
      </w:r>
      <w:r w:rsidR="00BF06EE">
        <w:rPr>
          <w:rFonts w:cs="Arial"/>
        </w:rPr>
        <w:t>en</w:t>
      </w:r>
      <w:r>
        <w:rPr>
          <w:rFonts w:cs="Arial"/>
        </w:rPr>
        <w:t xml:space="preserve"> und Sie haben dabei nur ein Ziel: Follower gewinnen. </w:t>
      </w:r>
    </w:p>
    <w:p w14:paraId="37115B99" w14:textId="14A1DE70" w:rsidR="00AB34E6" w:rsidRDefault="00536DC9" w:rsidP="00FF0C7C">
      <w:pPr>
        <w:suppressLineNumbers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957ADC" wp14:editId="7A6B9374">
            <wp:simplePos x="0" y="0"/>
            <wp:positionH relativeFrom="column">
              <wp:posOffset>4515485</wp:posOffset>
            </wp:positionH>
            <wp:positionV relativeFrom="paragraph">
              <wp:posOffset>13970</wp:posOffset>
            </wp:positionV>
            <wp:extent cx="1242060" cy="1242060"/>
            <wp:effectExtent l="0" t="0" r="0" b="0"/>
            <wp:wrapTight wrapText="bothSides">
              <wp:wrapPolygon edited="0">
                <wp:start x="0" y="0"/>
                <wp:lineTo x="0" y="21202"/>
                <wp:lineTo x="21202" y="21202"/>
                <wp:lineTo x="2120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D6F">
        <w:rPr>
          <w:rFonts w:cs="Arial"/>
        </w:rPr>
        <w:t xml:space="preserve">Öffnen Sie nun folgenden Link und spielen Sie gemeinsam das Spiel mit einem Tandempartner. </w:t>
      </w:r>
      <w:hyperlink r:id="rId12" w:anchor="intro" w:history="1">
        <w:r w:rsidR="00E26D6F" w:rsidRPr="00083F50">
          <w:rPr>
            <w:rStyle w:val="Hyperlink"/>
            <w:rFonts w:cs="Arial"/>
          </w:rPr>
          <w:t>https://www.getbadnews.de/#intro</w:t>
        </w:r>
      </w:hyperlink>
      <w:r w:rsidR="00E26D6F">
        <w:rPr>
          <w:rFonts w:cs="Arial"/>
        </w:rPr>
        <w:t xml:space="preserve"> </w:t>
      </w:r>
      <w:bookmarkStart w:id="0" w:name="_GoBack"/>
      <w:bookmarkEnd w:id="0"/>
    </w:p>
    <w:p w14:paraId="0E547F41" w14:textId="5674D91B" w:rsidR="00E26D6F" w:rsidRDefault="00E26D6F" w:rsidP="00FF0C7C">
      <w:pPr>
        <w:suppressLineNumbers/>
        <w:rPr>
          <w:rFonts w:cs="Arial"/>
        </w:rPr>
      </w:pPr>
      <w:r>
        <w:rPr>
          <w:rFonts w:cs="Arial"/>
        </w:rPr>
        <w:t xml:space="preserve">Sie haben 20 Minuten Zeit – je mehr Follower, desto besser. </w:t>
      </w:r>
    </w:p>
    <w:p w14:paraId="5BB9B6E6" w14:textId="0A3858F8" w:rsidR="00E26D6F" w:rsidRDefault="00E26D6F" w:rsidP="00FF0C7C">
      <w:pPr>
        <w:suppressLineNumbers/>
        <w:rPr>
          <w:rFonts w:cs="Arial"/>
        </w:rPr>
      </w:pPr>
      <w:r>
        <w:rPr>
          <w:rFonts w:cs="Arial"/>
        </w:rPr>
        <w:t xml:space="preserve">Anschließende werten Sie in der Klasse das Spiel aus. Es geht bei der Auswertung nicht nur um die meisten Follower, sondern auch darum, welche Desinformationen Sie eingesetzt haben. </w:t>
      </w:r>
    </w:p>
    <w:sectPr w:rsidR="00E26D6F" w:rsidSect="00FF0C7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23E5" w16cex:dateUtc="2021-05-12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7F7D18" w16cid:durableId="244623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29461" w14:textId="77777777" w:rsidR="00C0273A" w:rsidRDefault="00C0273A" w:rsidP="001676EC">
      <w:r>
        <w:separator/>
      </w:r>
    </w:p>
  </w:endnote>
  <w:endnote w:type="continuationSeparator" w:id="0">
    <w:p w14:paraId="2CDC925F" w14:textId="77777777" w:rsidR="00C0273A" w:rsidRDefault="00C0273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65C099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34E6" w:rsidRPr="00AB34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65C099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34E6" w:rsidRPr="00AB34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04127F7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2C48" w:rsidRPr="00002C4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04127F7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2C48" w:rsidRPr="00002C4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22D35" w14:textId="77777777" w:rsidR="00C0273A" w:rsidRDefault="00C0273A" w:rsidP="001676EC">
      <w:r>
        <w:separator/>
      </w:r>
    </w:p>
  </w:footnote>
  <w:footnote w:type="continuationSeparator" w:id="0">
    <w:p w14:paraId="45850D48" w14:textId="77777777" w:rsidR="00C0273A" w:rsidRDefault="00C0273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772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53"/>
      <w:gridCol w:w="3960"/>
      <w:gridCol w:w="4259"/>
    </w:tblGrid>
    <w:tr w:rsidR="00FF0C7C" w14:paraId="6DB21AD7" w14:textId="77777777" w:rsidTr="00CD714C">
      <w:trPr>
        <w:trHeight w:val="300"/>
      </w:trPr>
      <w:tc>
        <w:tcPr>
          <w:tcW w:w="5553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FF0C7C" w14:paraId="6DB21ADA" w14:textId="77777777" w:rsidTr="00CD714C">
      <w:trPr>
        <w:trHeight w:val="300"/>
      </w:trPr>
      <w:tc>
        <w:tcPr>
          <w:tcW w:w="5553" w:type="dxa"/>
        </w:tcPr>
        <w:p w14:paraId="32731E2B" w14:textId="0DDE724A" w:rsidR="00FF0C7C" w:rsidRDefault="00E26D6F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Zugänge öffnen – Vorwissen aktivieren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02C48"/>
    <w:rsid w:val="000C3EA5"/>
    <w:rsid w:val="000E6820"/>
    <w:rsid w:val="001676EC"/>
    <w:rsid w:val="00192F76"/>
    <w:rsid w:val="002444B1"/>
    <w:rsid w:val="00286D25"/>
    <w:rsid w:val="00297513"/>
    <w:rsid w:val="002F2611"/>
    <w:rsid w:val="003D31AB"/>
    <w:rsid w:val="00402DD8"/>
    <w:rsid w:val="00536DC9"/>
    <w:rsid w:val="00537413"/>
    <w:rsid w:val="00562839"/>
    <w:rsid w:val="005F089F"/>
    <w:rsid w:val="007475FF"/>
    <w:rsid w:val="00827355"/>
    <w:rsid w:val="008D5448"/>
    <w:rsid w:val="008E240E"/>
    <w:rsid w:val="0092771B"/>
    <w:rsid w:val="009F0B91"/>
    <w:rsid w:val="00AB34E6"/>
    <w:rsid w:val="00B70454"/>
    <w:rsid w:val="00BD3BD3"/>
    <w:rsid w:val="00BF06EE"/>
    <w:rsid w:val="00C0273A"/>
    <w:rsid w:val="00C96219"/>
    <w:rsid w:val="00CD6A03"/>
    <w:rsid w:val="00CD714C"/>
    <w:rsid w:val="00CE7F81"/>
    <w:rsid w:val="00D2511F"/>
    <w:rsid w:val="00D83A16"/>
    <w:rsid w:val="00E26D6F"/>
    <w:rsid w:val="00E35489"/>
    <w:rsid w:val="00ED7CB3"/>
    <w:rsid w:val="00F45F67"/>
    <w:rsid w:val="00F639E3"/>
    <w:rsid w:val="00FA6D0E"/>
    <w:rsid w:val="00FC0F4A"/>
    <w:rsid w:val="00FE2412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CD714C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714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714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714C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714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714C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etbadnews.d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D60E29-D3AD-4F27-8D17-9212DB387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BAFDC3-6737-4F9C-AFFD-422058AB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3</cp:revision>
  <dcterms:created xsi:type="dcterms:W3CDTF">2021-05-17T05:23:00Z</dcterms:created>
  <dcterms:modified xsi:type="dcterms:W3CDTF">2021-06-22T13:52:00Z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